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tabs>
          <w:tab w:val="left" w:pos="1764"/>
          <w:tab w:val="center" w:pos="4725"/>
        </w:tabs>
      </w:pPr>
      <w:r>
        <w:t>FORM-129</w:t>
      </w:r>
    </w:p>
    <w:p>
      <w:pPr>
        <w:pStyle w:val="Title"/>
      </w:pPr>
      <w:r>
        <w:t>International Trade Certificate</w:t>
      </w:r>
    </w:p>
    <w:p>
      <w:pPr>
        <w:pStyle w:val="Subtitle"/>
        <w:pBdr>
          <w:bottom w:val="none" w:sz="0" w:space="0" w:color="auto"/>
        </w:pBdr>
        <w:spacing w:after="0"/>
        <w:rPr>
          <w:color w:val="C31515"/>
        </w:rPr>
      </w:pPr>
      <w:r>
        <w:rPr>
          <w:color w:val="C31515"/>
        </w:rPr>
        <w:t>SNC PROPRIETARY INFORMATION</w:t>
      </w:r>
    </w:p>
    <w:p>
      <w:pPr>
        <w:pStyle w:val="EmphasisNEW"/>
        <w:spacing w:before="240"/>
        <w:rPr>
          <w:color w:val="243040" w:themeColor="accent2" w:themeShade="80"/>
          <w:sz w:val="24"/>
        </w:rPr>
      </w:pPr>
      <w:bookmarkStart w:id="0" w:name="_Toc366593641"/>
      <w:r>
        <w:rPr>
          <w:color w:val="243040" w:themeColor="accent2" w:themeShade="80"/>
          <w:sz w:val="24"/>
        </w:rPr>
        <w:t>DOCUMENT INFORMATION</w:t>
      </w:r>
      <w:bookmarkEnd w:id="0"/>
      <w:r>
        <w:rPr>
          <w:color w:val="243040" w:themeColor="accent2" w:themeShade="80"/>
          <w:sz w:val="24"/>
        </w:rPr>
        <w:tab/>
      </w:r>
    </w:p>
    <w:tbl>
      <w:tblPr>
        <w:tblStyle w:val="TableGrid"/>
        <w:tblW w:w="10779" w:type="dxa"/>
        <w:tblInd w:w="18" w:type="dxa"/>
        <w:tblBorders>
          <w:top w:val="single" w:sz="2" w:space="0" w:color="D7DEE8" w:themeColor="accent2" w:themeTint="33"/>
          <w:left w:val="single" w:sz="2" w:space="0" w:color="D7DEE8" w:themeColor="accent2" w:themeTint="33"/>
          <w:bottom w:val="single" w:sz="2" w:space="0" w:color="D7DEE8" w:themeColor="accent2" w:themeTint="33"/>
          <w:right w:val="single" w:sz="2" w:space="0" w:color="D7DEE8" w:themeColor="accent2" w:themeTint="33"/>
          <w:insideH w:val="single" w:sz="2" w:space="0" w:color="D7DEE8" w:themeColor="accent2" w:themeTint="33"/>
          <w:insideV w:val="single" w:sz="2" w:space="0" w:color="D7DEE8" w:themeColor="accent2" w:themeTint="33"/>
        </w:tblBorders>
        <w:tblLook w:val="04A0" w:firstRow="1" w:lastRow="0" w:firstColumn="1" w:lastColumn="0" w:noHBand="0" w:noVBand="1"/>
      </w:tblPr>
      <w:tblGrid>
        <w:gridCol w:w="1710"/>
        <w:gridCol w:w="3939"/>
        <w:gridCol w:w="2340"/>
        <w:gridCol w:w="2790"/>
      </w:tblGrid>
      <w:tr>
        <w:trPr>
          <w:trHeight w:val="373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Level:</w:t>
            </w:r>
          </w:p>
        </w:tc>
        <w:tc>
          <w:tcPr>
            <w:tcW w:w="3939" w:type="dxa"/>
            <w:shd w:val="clear" w:color="auto" w:fill="auto"/>
            <w:noWrap/>
            <w:vAlign w:val="center"/>
          </w:tcPr>
          <w:p>
            <w:r>
              <w:t>Corporate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Authorized By: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COO</w:t>
            </w:r>
          </w:p>
        </w:tc>
      </w:tr>
      <w:tr>
        <w:trPr>
          <w:trHeight w:val="364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Type: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939" w:type="dxa"/>
            <w:shd w:val="clear" w:color="auto" w:fill="auto"/>
            <w:noWrap/>
            <w:vAlign w:val="center"/>
          </w:tcPr>
          <w:p>
            <w:r>
              <w:t>Form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Site(s):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All</w:t>
            </w:r>
          </w:p>
        </w:tc>
      </w:tr>
      <w:tr>
        <w:trPr>
          <w:trHeight w:val="346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Owning Org:</w:t>
            </w:r>
          </w:p>
        </w:tc>
        <w:tc>
          <w:tcPr>
            <w:tcW w:w="3939" w:type="dxa"/>
            <w:shd w:val="clear" w:color="auto" w:fill="auto"/>
            <w:vAlign w:val="center"/>
          </w:tcPr>
          <w:p>
            <w:r>
              <w:t>Supply Chain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Applicable To: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r>
              <w:t>Supply Chain, ITCO, Legal</w:t>
            </w:r>
          </w:p>
        </w:tc>
      </w:tr>
      <w:tr>
        <w:trPr>
          <w:trHeight w:val="288"/>
        </w:trPr>
        <w:tc>
          <w:tcPr>
            <w:tcW w:w="10779" w:type="dxa"/>
            <w:gridSpan w:val="4"/>
            <w:tcBorders>
              <w:top w:val="single" w:sz="2" w:space="0" w:color="D7DEE8" w:themeColor="accent2" w:themeTint="33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before="120" w:after="120"/>
              <w:jc w:val="center"/>
            </w:pPr>
          </w:p>
        </w:tc>
      </w:tr>
    </w:tbl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REVISION HISTORY</w:t>
      </w:r>
    </w:p>
    <w:tbl>
      <w:tblPr>
        <w:tblStyle w:val="TableGrid"/>
        <w:tblW w:w="10779" w:type="dxa"/>
        <w:tblInd w:w="18" w:type="dxa"/>
        <w:tblBorders>
          <w:top w:val="single" w:sz="2" w:space="0" w:color="D7DEE8" w:themeColor="accent2" w:themeTint="33"/>
          <w:left w:val="single" w:sz="2" w:space="0" w:color="D7DEE8" w:themeColor="accent2" w:themeTint="33"/>
          <w:bottom w:val="single" w:sz="2" w:space="0" w:color="D7DEE8" w:themeColor="accent2" w:themeTint="33"/>
          <w:right w:val="single" w:sz="2" w:space="0" w:color="D7DEE8" w:themeColor="accent2" w:themeTint="33"/>
          <w:insideH w:val="single" w:sz="2" w:space="0" w:color="D7DEE8" w:themeColor="accent2" w:themeTint="33"/>
          <w:insideV w:val="single" w:sz="2" w:space="0" w:color="D7DEE8" w:themeColor="accent2" w:themeTint="33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6729"/>
        <w:gridCol w:w="1980"/>
      </w:tblGrid>
      <w:tr>
        <w:trPr>
          <w:trHeight w:val="288"/>
        </w:trPr>
        <w:tc>
          <w:tcPr>
            <w:tcW w:w="81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Rev</w:t>
            </w:r>
          </w:p>
        </w:tc>
        <w:tc>
          <w:tcPr>
            <w:tcW w:w="1260" w:type="dxa"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Effective</w:t>
            </w:r>
          </w:p>
        </w:tc>
        <w:tc>
          <w:tcPr>
            <w:tcW w:w="67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Summary of Changes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Sections Revised</w:t>
            </w:r>
          </w:p>
        </w:tc>
      </w:tr>
      <w:tr>
        <w:trPr>
          <w:trHeight w:val="288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t>D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7/9/2020</w:t>
            </w:r>
          </w:p>
        </w:tc>
        <w:tc>
          <w:tcPr>
            <w:tcW w:w="6729" w:type="dxa"/>
            <w:shd w:val="clear" w:color="auto" w:fill="auto"/>
            <w:noWrap/>
            <w:vAlign w:val="center"/>
          </w:tcPr>
          <w:p>
            <w:r>
              <w:rPr>
                <w:rFonts w:ascii="Calibri" w:hAnsi="Calibri" w:cs="Calibri"/>
                <w:shd w:val="clear" w:color="auto" w:fill="FFFFFF"/>
              </w:rPr>
              <w:t>MINOR - 7/27/2022 Updated document to new document number format and will update the Biennial to align with publication date. Formerly OPS-FORM-9180</w:t>
            </w:r>
          </w:p>
          <w:p>
            <w:r>
              <w:t>Updated document title from Commodity Export Classification Certificate to International Trade Certificate; Revised directions under heading, Added drop downs under Product Information, e-signing capability and other updated Improvements about requesting Free Trade Agreement certificates for anything manufactured in free trade countries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Entire Document</w:t>
            </w:r>
          </w:p>
        </w:tc>
      </w:tr>
      <w:tr>
        <w:trPr>
          <w:trHeight w:val="283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Prior</w:t>
            </w:r>
          </w:p>
        </w:tc>
        <w:tc>
          <w:tcPr>
            <w:tcW w:w="9969" w:type="dxa"/>
            <w:gridSpan w:val="3"/>
            <w:vAlign w:val="center"/>
          </w:tcPr>
          <w:p>
            <w:pPr>
              <w:spacing w:before="120" w:after="120"/>
            </w:pPr>
            <w:r>
              <w:rPr>
                <w:bCs/>
                <w:i/>
              </w:rPr>
              <w:t>*See Document Administrator for details*</w:t>
            </w:r>
          </w:p>
        </w:tc>
      </w:tr>
      <w:tr>
        <w:trPr>
          <w:trHeight w:val="283"/>
        </w:trPr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spacing w:before="120" w:after="120"/>
              <w:jc w:val="center"/>
              <w:rPr>
                <w:bCs/>
                <w:i/>
              </w:rPr>
            </w:pPr>
          </w:p>
        </w:tc>
        <w:tc>
          <w:tcPr>
            <w:tcW w:w="9969" w:type="dxa"/>
            <w:gridSpan w:val="3"/>
            <w:vAlign w:val="center"/>
          </w:tcPr>
          <w:p>
            <w:pPr>
              <w:spacing w:before="120" w:after="120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>Date of Next Biennial Review 8/1/2024</w:t>
            </w:r>
          </w:p>
        </w:tc>
      </w:tr>
    </w:tbl>
    <w:p>
      <w:pPr>
        <w:pStyle w:val="EmphasisNEW"/>
        <w:spacing w:before="240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GOVERNING DOCUMENT(S)</w:t>
      </w:r>
    </w:p>
    <w:p>
      <w:pPr>
        <w:spacing w:after="0"/>
      </w:pPr>
      <w:r>
        <w:t xml:space="preserve">PRCD-176 Procurements from Foreign Suppliers, or in support of Foreign Military Sales, Direct Foreign Sales and OCONUS  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 xml:space="preserve">Operations </w:t>
      </w:r>
    </w:p>
    <w:p>
      <w:pPr>
        <w:spacing w:after="0"/>
        <w:rPr>
          <w:rFonts w:cstheme="minorHAnsi"/>
        </w:rPr>
      </w:pPr>
    </w:p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EXTERNAL REGULATIONS / STANDARDS</w:t>
      </w:r>
    </w:p>
    <w:p>
      <w:pPr>
        <w:spacing w:after="0"/>
        <w:rPr>
          <w:rFonts w:cstheme="minorHAnsi"/>
        </w:rPr>
      </w:pPr>
      <w:r>
        <w:rPr>
          <w:rFonts w:cstheme="minorHAnsi"/>
        </w:rPr>
        <w:t>N/A</w:t>
      </w:r>
    </w:p>
    <w:p>
      <w:pPr>
        <w:spacing w:after="0"/>
        <w:rPr>
          <w:rFonts w:cstheme="minorHAnsi"/>
          <w:sz w:val="24"/>
          <w:szCs w:val="24"/>
        </w:rPr>
      </w:pPr>
    </w:p>
    <w:p>
      <w:pPr>
        <w:pStyle w:val="EmphasisNEW"/>
        <w:rPr>
          <w:color w:val="243040" w:themeColor="accent2" w:themeShade="80"/>
          <w:sz w:val="24"/>
        </w:rPr>
      </w:pPr>
      <w:r>
        <w:rPr>
          <w:color w:val="243040" w:themeColor="accent2" w:themeShade="80"/>
          <w:sz w:val="24"/>
        </w:rPr>
        <w:t>EMBEDDED DOCUMENT(S)</w:t>
      </w:r>
    </w:p>
    <w:p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</w:rPr>
      </w:pPr>
      <w:hyperlink r:id="rId13" w:history="1">
        <w:r>
          <w:rPr>
            <w:rStyle w:val="Hyperlink"/>
            <w:rFonts w:ascii="Calibri" w:eastAsia="Times New Roman" w:hAnsi="Calibri" w:cs="Calibri"/>
            <w:iCs w:val="0"/>
            <w:sz w:val="22"/>
            <w:szCs w:val="22"/>
          </w:rPr>
          <w:t>FORM-129 International Trade Certificate</w:t>
        </w:r>
      </w:hyperlink>
    </w:p>
    <w:p>
      <w:pPr>
        <w:spacing w:after="0" w:line="240" w:lineRule="auto"/>
        <w:rPr>
          <w:rFonts w:ascii="Calibri" w:eastAsia="Times New Roman" w:hAnsi="Calibri" w:cs="Calibri"/>
          <w:iCs w:val="0"/>
          <w:color w:val="000000"/>
          <w:sz w:val="22"/>
          <w:szCs w:val="22"/>
        </w:rPr>
      </w:pPr>
    </w:p>
    <w:p>
      <w:pPr>
        <w:rPr>
          <w:rFonts w:ascii="Arial" w:hAnsi="Arial" w:cs="Arial"/>
        </w:rPr>
      </w:pPr>
      <w:bookmarkStart w:id="1" w:name="_GoBack"/>
      <w:bookmarkEnd w:id="1"/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Approved for Release Outside of SNC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5061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6E9A"/>
    <w:multiLevelType w:val="hybridMultilevel"/>
    <w:tmpl w:val="B046E4F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77D6DC2"/>
    <w:multiLevelType w:val="hybridMultilevel"/>
    <w:tmpl w:val="BE7E8F48"/>
    <w:lvl w:ilvl="0" w:tplc="C4FC7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92A50"/>
    <w:multiLevelType w:val="hybridMultilevel"/>
    <w:tmpl w:val="F0987F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680E77"/>
    <w:multiLevelType w:val="hybridMultilevel"/>
    <w:tmpl w:val="3B0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20D9"/>
    <w:multiLevelType w:val="hybridMultilevel"/>
    <w:tmpl w:val="BF42C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73C3"/>
    <w:multiLevelType w:val="hybridMultilevel"/>
    <w:tmpl w:val="BBCC3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02274"/>
    <w:multiLevelType w:val="hybridMultilevel"/>
    <w:tmpl w:val="08867990"/>
    <w:lvl w:ilvl="0" w:tplc="C89A76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76A07"/>
    <w:multiLevelType w:val="hybridMultilevel"/>
    <w:tmpl w:val="D6E4720A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1C9C4BA6"/>
    <w:multiLevelType w:val="multilevel"/>
    <w:tmpl w:val="D1DC74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E017D0"/>
    <w:multiLevelType w:val="hybridMultilevel"/>
    <w:tmpl w:val="78803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342F0"/>
    <w:multiLevelType w:val="hybridMultilevel"/>
    <w:tmpl w:val="71D098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F047B1"/>
    <w:multiLevelType w:val="multilevel"/>
    <w:tmpl w:val="F47E28E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D4741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F09A6"/>
    <w:multiLevelType w:val="multilevel"/>
    <w:tmpl w:val="77EAE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1355CC"/>
    <w:multiLevelType w:val="hybridMultilevel"/>
    <w:tmpl w:val="776E2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96DF4"/>
    <w:multiLevelType w:val="hybridMultilevel"/>
    <w:tmpl w:val="11BE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A568B"/>
    <w:multiLevelType w:val="multilevel"/>
    <w:tmpl w:val="B54470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FE363E"/>
    <w:multiLevelType w:val="hybridMultilevel"/>
    <w:tmpl w:val="5366E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F2148"/>
    <w:multiLevelType w:val="multilevel"/>
    <w:tmpl w:val="009EF6C6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4E1FF4"/>
    <w:multiLevelType w:val="multilevel"/>
    <w:tmpl w:val="5A784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AE792B"/>
    <w:multiLevelType w:val="hybridMultilevel"/>
    <w:tmpl w:val="8D9E7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D738E"/>
    <w:multiLevelType w:val="multilevel"/>
    <w:tmpl w:val="7880360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2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0E719EB"/>
    <w:multiLevelType w:val="hybridMultilevel"/>
    <w:tmpl w:val="0C0A5B8A"/>
    <w:lvl w:ilvl="0" w:tplc="55809F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3E8E2F1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574CD"/>
    <w:multiLevelType w:val="multilevel"/>
    <w:tmpl w:val="F8A22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0B47A5"/>
    <w:multiLevelType w:val="hybridMultilevel"/>
    <w:tmpl w:val="9A949E82"/>
    <w:lvl w:ilvl="0" w:tplc="7390EB1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A018E"/>
    <w:multiLevelType w:val="hybridMultilevel"/>
    <w:tmpl w:val="7B2E17AA"/>
    <w:lvl w:ilvl="0" w:tplc="B5EE1B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AF7857"/>
    <w:multiLevelType w:val="hybridMultilevel"/>
    <w:tmpl w:val="03C4B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814DD"/>
    <w:multiLevelType w:val="multilevel"/>
    <w:tmpl w:val="009EF6C6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BE1B5D"/>
    <w:multiLevelType w:val="multilevel"/>
    <w:tmpl w:val="8D0CA714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B6D3D13"/>
    <w:multiLevelType w:val="hybridMultilevel"/>
    <w:tmpl w:val="9B6E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1640"/>
    <w:multiLevelType w:val="hybridMultilevel"/>
    <w:tmpl w:val="74E86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231D0"/>
    <w:multiLevelType w:val="hybridMultilevel"/>
    <w:tmpl w:val="85881A2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9982B59"/>
    <w:multiLevelType w:val="multilevel"/>
    <w:tmpl w:val="5A784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07477A"/>
    <w:multiLevelType w:val="multilevel"/>
    <w:tmpl w:val="337476D2"/>
    <w:lvl w:ilvl="0">
      <w:start w:val="1"/>
      <w:numFmt w:val="decimal"/>
      <w:lvlText w:val="%1"/>
      <w:lvlJc w:val="left"/>
      <w:pPr>
        <w:ind w:left="360" w:hanging="360"/>
      </w:pPr>
      <w:rPr>
        <w:rFonts w:ascii="Cambria" w:hAnsi="Cambria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7073EE"/>
    <w:multiLevelType w:val="hybridMultilevel"/>
    <w:tmpl w:val="86A63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C2DD9"/>
    <w:multiLevelType w:val="hybridMultilevel"/>
    <w:tmpl w:val="3D9E4F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1"/>
  </w:num>
  <w:num w:numId="4">
    <w:abstractNumId w:val="23"/>
  </w:num>
  <w:num w:numId="5">
    <w:abstractNumId w:val="16"/>
  </w:num>
  <w:num w:numId="6">
    <w:abstractNumId w:val="8"/>
  </w:num>
  <w:num w:numId="7">
    <w:abstractNumId w:val="1"/>
  </w:num>
  <w:num w:numId="8">
    <w:abstractNumId w:val="22"/>
  </w:num>
  <w:num w:numId="9">
    <w:abstractNumId w:val="2"/>
  </w:num>
  <w:num w:numId="10">
    <w:abstractNumId w:val="24"/>
  </w:num>
  <w:num w:numId="11">
    <w:abstractNumId w:val="6"/>
  </w:num>
  <w:num w:numId="12">
    <w:abstractNumId w:val="29"/>
  </w:num>
  <w:num w:numId="13">
    <w:abstractNumId w:val="32"/>
  </w:num>
  <w:num w:numId="14">
    <w:abstractNumId w:val="19"/>
  </w:num>
  <w:num w:numId="15">
    <w:abstractNumId w:val="13"/>
  </w:num>
  <w:num w:numId="16">
    <w:abstractNumId w:val="21"/>
  </w:num>
  <w:num w:numId="17">
    <w:abstractNumId w:val="12"/>
  </w:num>
  <w:num w:numId="18">
    <w:abstractNumId w:val="28"/>
  </w:num>
  <w:num w:numId="19">
    <w:abstractNumId w:val="3"/>
  </w:num>
  <w:num w:numId="20">
    <w:abstractNumId w:val="31"/>
  </w:num>
  <w:num w:numId="21">
    <w:abstractNumId w:val="4"/>
  </w:num>
  <w:num w:numId="22">
    <w:abstractNumId w:val="20"/>
  </w:num>
  <w:num w:numId="23">
    <w:abstractNumId w:val="0"/>
  </w:num>
  <w:num w:numId="24">
    <w:abstractNumId w:val="7"/>
  </w:num>
  <w:num w:numId="25">
    <w:abstractNumId w:val="17"/>
  </w:num>
  <w:num w:numId="26">
    <w:abstractNumId w:val="15"/>
  </w:num>
  <w:num w:numId="27">
    <w:abstractNumId w:val="30"/>
  </w:num>
  <w:num w:numId="28">
    <w:abstractNumId w:val="5"/>
  </w:num>
  <w:num w:numId="29">
    <w:abstractNumId w:val="25"/>
  </w:num>
  <w:num w:numId="30">
    <w:abstractNumId w:val="26"/>
  </w:num>
  <w:num w:numId="31">
    <w:abstractNumId w:val="34"/>
  </w:num>
  <w:num w:numId="32">
    <w:abstractNumId w:val="35"/>
  </w:num>
  <w:num w:numId="33">
    <w:abstractNumId w:val="9"/>
  </w:num>
  <w:num w:numId="34">
    <w:abstractNumId w:val="14"/>
  </w:num>
  <w:num w:numId="35">
    <w:abstractNumId w:val="27"/>
  </w:num>
  <w:num w:numId="3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62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2"/>
    <o:shapelayout v:ext="edit">
      <o:idmap v:ext="edit" data="1"/>
    </o:shapelayout>
  </w:shapeDefaults>
  <w:decimalSymbol w:val="."/>
  <w:listSeparator w:val=","/>
  <w15:docId w15:val="{AB839B7B-C0D0-464F-8239-277D092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pPr>
      <w:numPr>
        <w:numId w:val="16"/>
      </w:numPr>
      <w:pBdr>
        <w:top w:val="single" w:sz="8" w:space="0" w:color="496081" w:themeColor="accent2"/>
        <w:left w:val="single" w:sz="8" w:space="0" w:color="496081" w:themeColor="accent2"/>
        <w:bottom w:val="single" w:sz="8" w:space="0" w:color="496081" w:themeColor="accent2"/>
        <w:right w:val="single" w:sz="8" w:space="0" w:color="496081" w:themeColor="accent2"/>
      </w:pBdr>
      <w:shd w:val="clear" w:color="auto" w:fill="243040" w:themeFill="accent2" w:themeFillShade="8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pPr>
      <w:numPr>
        <w:ilvl w:val="1"/>
        <w:numId w:val="16"/>
      </w:numPr>
      <w:pBdr>
        <w:top w:val="single" w:sz="4" w:space="0" w:color="496081" w:themeColor="accent2"/>
        <w:left w:val="single" w:sz="4" w:space="2" w:color="496081" w:themeColor="accent2"/>
        <w:bottom w:val="single" w:sz="4" w:space="0" w:color="496081" w:themeColor="accent2"/>
        <w:right w:val="single" w:sz="4" w:space="4" w:color="496081" w:themeColor="accent2"/>
      </w:pBdr>
      <w:shd w:val="clear" w:color="auto" w:fill="C6C6C6"/>
      <w:spacing w:before="200" w:after="100" w:line="269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43040" w:themeColor="accent2" w:themeShade="80"/>
      <w:sz w:val="22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pPr>
      <w:numPr>
        <w:ilvl w:val="2"/>
        <w:numId w:val="16"/>
      </w:numPr>
      <w:pBdr>
        <w:top w:val="single" w:sz="4" w:space="1" w:color="496081" w:themeColor="accent2"/>
        <w:left w:val="single" w:sz="4" w:space="2" w:color="496081" w:themeColor="accent2"/>
        <w:bottom w:val="single" w:sz="4" w:space="0" w:color="496081" w:themeColor="accent2"/>
        <w:right w:val="single" w:sz="4" w:space="4" w:color="496081" w:themeColor="accent2"/>
      </w:pBdr>
      <w:shd w:val="clear" w:color="auto" w:fill="D7DEE8" w:themeFill="accent2" w:themeFillTint="33"/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17365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pPr>
      <w:numPr>
        <w:ilvl w:val="3"/>
        <w:numId w:val="16"/>
      </w:numPr>
      <w:pBdr>
        <w:left w:val="single" w:sz="4" w:space="2" w:color="496081" w:themeColor="accent2"/>
        <w:bottom w:val="single" w:sz="4" w:space="2" w:color="496081" w:themeColor="accent2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43040" w:themeColor="accent2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pPr>
      <w:numPr>
        <w:ilvl w:val="4"/>
        <w:numId w:val="16"/>
      </w:numPr>
      <w:pBdr>
        <w:left w:val="dotted" w:sz="4" w:space="2" w:color="496081" w:themeColor="accent2"/>
        <w:bottom w:val="dotted" w:sz="4" w:space="2" w:color="496081" w:themeColor="accent2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/>
      <w:bCs/>
      <w:color w:val="364760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6"/>
      </w:numPr>
      <w:pBdr>
        <w:bottom w:val="single" w:sz="4" w:space="2" w:color="B0BED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4760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6"/>
      </w:numPr>
      <w:pBdr>
        <w:bottom w:val="dotted" w:sz="4" w:space="2" w:color="889DBC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64760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6"/>
      </w:num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9608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6"/>
      </w:num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49608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iCs/>
      <w:color w:val="FFFFFF" w:themeColor="background1"/>
      <w:shd w:val="clear" w:color="auto" w:fill="243040" w:themeFill="accent2" w:themeFillShade="80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iCs/>
      <w:color w:val="243040" w:themeColor="accent2" w:themeShade="80"/>
      <w:shd w:val="clear" w:color="auto" w:fill="C6C6C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2">
    <w:name w:val="toc 2"/>
    <w:basedOn w:val="Normal"/>
    <w:next w:val="Normal"/>
    <w:link w:val="TOC2Char"/>
    <w:autoRedefine/>
    <w:uiPriority w:val="39"/>
    <w:qFormat/>
    <w:pPr>
      <w:tabs>
        <w:tab w:val="left" w:pos="720"/>
        <w:tab w:val="right" w:leader="dot" w:pos="9360"/>
      </w:tabs>
      <w:spacing w:after="0"/>
      <w:ind w:right="-270"/>
    </w:pPr>
    <w:rPr>
      <w:rFonts w:ascii="Arial" w:hAnsi="Arial"/>
      <w:iCs w:val="0"/>
      <w:noProof/>
      <w:color w:val="243040" w:themeColor="accent2" w:themeShade="80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Level2">
    <w:name w:val="Level 2"/>
    <w:basedOn w:val="TOC2"/>
    <w:link w:val="Level2Char"/>
    <w:rPr>
      <w:color w:val="000000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TOC2Char">
    <w:name w:val="TOC 2 Char"/>
    <w:basedOn w:val="DefaultParagraphFont"/>
    <w:link w:val="TOC2"/>
    <w:uiPriority w:val="39"/>
    <w:rPr>
      <w:rFonts w:ascii="Arial" w:hAnsi="Arial"/>
      <w:noProof/>
      <w:color w:val="243040" w:themeColor="accent2" w:themeShade="80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evel2Char">
    <w:name w:val="Level 2 Char"/>
    <w:basedOn w:val="TOC2Char"/>
    <w:link w:val="Level2"/>
    <w:rPr>
      <w:rFonts w:asciiTheme="majorHAnsi" w:hAnsiTheme="majorHAnsi" w:cstheme="minorHAnsi"/>
      <w:iCs w:val="0"/>
      <w:smallCaps w:val="0"/>
      <w:noProof/>
      <w:color w:val="000000"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pPr>
      <w:tabs>
        <w:tab w:val="left" w:pos="720"/>
        <w:tab w:val="right" w:leader="dot" w:pos="9360"/>
      </w:tabs>
      <w:spacing w:before="120" w:after="120"/>
    </w:pPr>
    <w:rPr>
      <w:rFonts w:ascii="Arial" w:hAnsi="Arial"/>
      <w:b/>
      <w:iCs w:val="0"/>
      <w:noProof/>
      <w:color w:val="243040" w:themeColor="accent2" w:themeShade="80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zzmpTrailerItem">
    <w:name w:val="zzmpTrailerItem"/>
    <w:basedOn w:val="DefaultParagraphFont"/>
    <w:rPr>
      <w:rFonts w:ascii="Calibri" w:hAnsi="Calibri" w:cs="Calibri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pPr>
      <w:spacing w:before="120" w:after="120" w:line="24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pPr>
      <w:tabs>
        <w:tab w:val="left" w:pos="1440"/>
        <w:tab w:val="right" w:leader="dot" w:pos="9360"/>
      </w:tabs>
      <w:spacing w:after="0"/>
      <w:ind w:left="720"/>
    </w:pPr>
    <w:rPr>
      <w:rFonts w:ascii="Arial" w:hAnsi="Arial"/>
      <w:iCs w:val="0"/>
      <w:noProof/>
      <w:color w:val="243040" w:themeColor="accent2" w:themeShade="80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character" w:customStyle="1" w:styleId="Heading9Char">
    <w:name w:val="Heading 9 Char"/>
    <w:basedOn w:val="DefaultParagraphFont"/>
    <w:link w:val="Heading9"/>
    <w:rPr>
      <w:rFonts w:asciiTheme="majorHAnsi" w:eastAsiaTheme="majorEastAsia" w:hAnsiTheme="majorHAnsi" w:cstheme="majorBidi"/>
      <w:iCs/>
      <w:color w:val="496081" w:themeColor="accent2"/>
      <w:sz w:val="20"/>
      <w:szCs w:val="20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iCs/>
      <w:color w:val="17365D" w:themeColor="accent1"/>
      <w:shd w:val="clear" w:color="auto" w:fill="D7DEE8" w:themeFill="accent2" w:themeFillTint="33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48" w:space="0" w:color="496081" w:themeColor="accent2"/>
        <w:bottom w:val="single" w:sz="48" w:space="0" w:color="496081" w:themeColor="accent2"/>
      </w:pBdr>
      <w:shd w:val="clear" w:color="auto" w:fill="4960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49608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bottom w:val="dotted" w:sz="8" w:space="10" w:color="4960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42F4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242F4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Cs/>
      <w:color w:val="243040" w:themeColor="accent2" w:themeShade="80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b/>
      <w:bCs/>
      <w:iCs/>
      <w:color w:val="364760" w:themeColor="accent2" w:themeShade="BF"/>
    </w:rPr>
  </w:style>
  <w:style w:type="character" w:customStyle="1" w:styleId="Heading6Char">
    <w:name w:val="Heading 6 Char"/>
    <w:basedOn w:val="DefaultParagraphFont"/>
    <w:link w:val="Heading6"/>
    <w:rPr>
      <w:rFonts w:asciiTheme="majorHAnsi" w:eastAsiaTheme="majorEastAsia" w:hAnsiTheme="majorHAnsi" w:cstheme="majorBidi"/>
      <w:iCs/>
      <w:color w:val="364760" w:themeColor="accent2" w:themeShade="BF"/>
    </w:rPr>
  </w:style>
  <w:style w:type="character" w:customStyle="1" w:styleId="Heading7Char">
    <w:name w:val="Heading 7 Char"/>
    <w:basedOn w:val="DefaultParagraphFont"/>
    <w:link w:val="Heading7"/>
    <w:rPr>
      <w:rFonts w:asciiTheme="majorHAnsi" w:eastAsiaTheme="majorEastAsia" w:hAnsiTheme="majorHAnsi" w:cstheme="majorBidi"/>
      <w:iCs/>
      <w:color w:val="364760" w:themeColor="accent2" w:themeShade="BF"/>
    </w:rPr>
  </w:style>
  <w:style w:type="character" w:customStyle="1" w:styleId="Heading8Char">
    <w:name w:val="Heading 8 Char"/>
    <w:basedOn w:val="DefaultParagraphFont"/>
    <w:link w:val="Heading8"/>
    <w:rPr>
      <w:rFonts w:asciiTheme="majorHAnsi" w:eastAsiaTheme="majorEastAsia" w:hAnsiTheme="majorHAnsi" w:cstheme="majorBidi"/>
      <w:iCs/>
      <w:color w:val="496081" w:themeColor="accent2"/>
    </w:rPr>
  </w:style>
  <w:style w:type="paragraph" w:styleId="Caption">
    <w:name w:val="caption"/>
    <w:basedOn w:val="Normal"/>
    <w:next w:val="Normal"/>
    <w:unhideWhenUsed/>
    <w:qFormat/>
    <w:rPr>
      <w:b/>
      <w:bCs/>
      <w:color w:val="364760" w:themeColor="accent2" w:themeShade="BF"/>
      <w:sz w:val="18"/>
      <w:szCs w:val="18"/>
    </w:rPr>
  </w:style>
  <w:style w:type="character" w:styleId="Strong">
    <w:name w:val="Strong"/>
    <w:uiPriority w:val="22"/>
    <w:qFormat/>
    <w:rPr>
      <w:b/>
      <w:bCs/>
      <w:spacing w:val="0"/>
    </w:rPr>
  </w:style>
  <w:style w:type="character" w:styleId="Emphasis">
    <w:name w:val="Emphasis"/>
    <w:uiPriority w:val="20"/>
    <w:rPr>
      <w:i/>
      <w:color w:val="496081" w:themeColor="accent2"/>
      <w:bdr w:val="single" w:sz="18" w:space="0" w:color="D7DEE8" w:themeColor="accent2" w:themeTint="33"/>
      <w:shd w:val="clear" w:color="auto" w:fill="D7DEE8" w:themeFill="accent2" w:themeFillTint="33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 w:val="0"/>
      <w:color w:val="364760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Pr>
      <w:color w:val="364760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dotted" w:sz="8" w:space="10" w:color="496081" w:themeColor="accent2"/>
        <w:bottom w:val="dotted" w:sz="8" w:space="10" w:color="4960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49608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b/>
      <w:bCs/>
      <w:i/>
      <w:iCs/>
      <w:color w:val="496081" w:themeColor="accent2"/>
      <w:sz w:val="20"/>
      <w:szCs w:val="20"/>
    </w:rPr>
  </w:style>
  <w:style w:type="character" w:styleId="SubtleEmphasis">
    <w:name w:val="Subtle Emphasis"/>
    <w:uiPriority w:val="19"/>
    <w:qFormat/>
    <w:rPr>
      <w:rFonts w:asciiTheme="majorHAnsi" w:eastAsiaTheme="majorEastAsia" w:hAnsiTheme="majorHAnsi" w:cstheme="majorBidi"/>
      <w:i/>
      <w:iCs/>
      <w:color w:val="496081" w:themeColor="accent2"/>
    </w:rPr>
  </w:style>
  <w:style w:type="character" w:styleId="IntenseEmphasis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496081" w:themeColor="accent2"/>
      <w:shd w:val="clear" w:color="auto" w:fill="496081" w:themeFill="accent2"/>
      <w:vertAlign w:val="baseline"/>
    </w:rPr>
  </w:style>
  <w:style w:type="character" w:styleId="SubtleReference">
    <w:name w:val="Subtle Reference"/>
    <w:uiPriority w:val="31"/>
    <w:qFormat/>
    <w:rPr>
      <w:i/>
      <w:iCs/>
      <w:smallCaps/>
      <w:color w:val="496081" w:themeColor="accent2"/>
      <w:u w:color="496081" w:themeColor="accent2"/>
    </w:rPr>
  </w:style>
  <w:style w:type="character" w:styleId="IntenseReference">
    <w:name w:val="Intense Reference"/>
    <w:uiPriority w:val="32"/>
    <w:qFormat/>
    <w:rPr>
      <w:b/>
      <w:bCs/>
      <w:i/>
      <w:iCs/>
      <w:smallCaps/>
      <w:color w:val="496081" w:themeColor="accent2"/>
      <w:u w:color="496081" w:themeColor="accent2"/>
    </w:rPr>
  </w:style>
  <w:style w:type="character" w:styleId="BookTitle">
    <w:name w:val="Book Title"/>
    <w:uiPriority w:val="33"/>
    <w:qFormat/>
    <w:rPr>
      <w:rFonts w:asciiTheme="majorHAnsi" w:eastAsiaTheme="majorEastAsia" w:hAnsiTheme="majorHAnsi" w:cstheme="majorBidi"/>
      <w:b/>
      <w:bCs/>
      <w:i/>
      <w:iCs/>
      <w:smallCaps/>
      <w:color w:val="364760" w:themeColor="accent2" w:themeShade="BF"/>
      <w:u w:val="single"/>
    </w:rPr>
  </w:style>
  <w:style w:type="paragraph" w:styleId="TOCHeading">
    <w:name w:val="TOC Heading"/>
    <w:basedOn w:val="TOC3"/>
    <w:next w:val="Normal"/>
    <w:uiPriority w:val="39"/>
    <w:unhideWhenUsed/>
    <w:qFormat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hasisNEW">
    <w:name w:val="EmphasisNEW"/>
    <w:basedOn w:val="Normal"/>
    <w:next w:val="Normal"/>
    <w:qFormat/>
    <w:pPr>
      <w:pBdr>
        <w:top w:val="single" w:sz="2" w:space="1" w:color="496081" w:themeColor="accent2"/>
        <w:left w:val="single" w:sz="2" w:space="4" w:color="496081" w:themeColor="accent2"/>
        <w:bottom w:val="single" w:sz="2" w:space="1" w:color="496081" w:themeColor="accent2"/>
        <w:right w:val="single" w:sz="2" w:space="4" w:color="496081" w:themeColor="accent2"/>
      </w:pBdr>
      <w:shd w:val="clear" w:color="auto" w:fill="D7DEE8" w:themeFill="accent2" w:themeFillTint="33"/>
    </w:pPr>
    <w:rPr>
      <w:rFonts w:asciiTheme="majorHAnsi" w:hAnsiTheme="majorHAnsi"/>
      <w:b/>
      <w:i/>
      <w:color w:val="496081" w:themeColor="accent2"/>
      <w:sz w:val="22"/>
      <w:szCs w:val="22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  <w:jc w:val="both"/>
    </w:pPr>
    <w:rPr>
      <w:rFonts w:eastAsiaTheme="minorHAnsi"/>
      <w:iCs w:val="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  <w:jc w:val="both"/>
    </w:pPr>
    <w:rPr>
      <w:rFonts w:ascii="Tahoma" w:eastAsiaTheme="minorHAnsi" w:hAnsi="Tahoma" w:cs="Tahoma"/>
      <w:iCs w:val="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iCs w:val="0"/>
      <w:sz w:val="24"/>
      <w:szCs w:val="24"/>
    </w:rPr>
  </w:style>
  <w:style w:type="paragraph" w:customStyle="1" w:styleId="TableColumnHeading">
    <w:name w:val="Table Column Heading"/>
    <w:basedOn w:val="Normal"/>
    <w:next w:val="Normal"/>
    <w:qFormat/>
    <w:pPr>
      <w:spacing w:before="60" w:after="60" w:line="240" w:lineRule="auto"/>
      <w:jc w:val="center"/>
    </w:pPr>
    <w:rPr>
      <w:rFonts w:ascii="Times New Roman" w:hAnsi="Times New Roman"/>
      <w:b/>
      <w:iCs w:val="0"/>
      <w:sz w:val="22"/>
      <w:szCs w:val="22"/>
    </w:rPr>
  </w:style>
  <w:style w:type="paragraph" w:customStyle="1" w:styleId="TOC2015">
    <w:name w:val="TOC 2015"/>
    <w:basedOn w:val="TOC1"/>
    <w:link w:val="TOC2015Char"/>
    <w:qFormat/>
    <w:rPr>
      <w:rFonts w:asciiTheme="majorHAnsi" w:hAnsiTheme="majorHAnsi" w:cstheme="minorHAnsi"/>
    </w:rPr>
  </w:style>
  <w:style w:type="character" w:customStyle="1" w:styleId="TOC1Char">
    <w:name w:val="TOC 1 Char"/>
    <w:basedOn w:val="DefaultParagraphFont"/>
    <w:link w:val="TOC1"/>
    <w:uiPriority w:val="39"/>
    <w:rPr>
      <w:rFonts w:ascii="Arial" w:hAnsi="Arial"/>
      <w:b/>
      <w:noProof/>
      <w:color w:val="243040" w:themeColor="accent2" w:themeShade="80"/>
      <w:sz w:val="20"/>
    </w:rPr>
  </w:style>
  <w:style w:type="character" w:customStyle="1" w:styleId="TOC2015Char">
    <w:name w:val="TOC 2015 Char"/>
    <w:basedOn w:val="TOC1Char"/>
    <w:link w:val="TOC2015"/>
    <w:rPr>
      <w:rFonts w:asciiTheme="majorHAnsi" w:hAnsiTheme="majorHAnsi" w:cstheme="minorHAnsi"/>
      <w:b/>
      <w:noProof/>
      <w:color w:val="243040" w:themeColor="accent2" w:themeShade="8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ncorp365.sharepoint.us/:b:/s/cm/EYpkO1nOSChOlkXDmRO7yIQBv4CzLFoInloThwl7d0dtGw?e=dhGig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7365D"/>
      </a:accent1>
      <a:accent2>
        <a:srgbClr val="496081"/>
      </a:accent2>
      <a:accent3>
        <a:srgbClr val="010165"/>
      </a:accent3>
      <a:accent4>
        <a:srgbClr val="7F7F7F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91cf80-9e13-48e1-ace0-01d117e9b6e0">
      <Value>594</Value>
      <Value>13</Value>
      <Value>641</Value>
      <Value>11</Value>
      <Value>281</Value>
      <Value>12</Value>
      <Value>23</Value>
      <Value>22</Value>
      <Value>565</Value>
      <Value>241</Value>
      <Value>580</Value>
      <Value>579</Value>
    </TaxCatchAll>
    <lcf76f155ced4ddcb4097134ff3c332f xmlns="56814c8e-47d8-417b-81de-6a41a77e178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821EB9A3C0540A9ED8FCBC432CDCA" ma:contentTypeVersion="15" ma:contentTypeDescription="Create a new document." ma:contentTypeScope="" ma:versionID="768ff7bb4b853dc849e2e14bbbcd93b1">
  <xsd:schema xmlns:xsd="http://www.w3.org/2001/XMLSchema" xmlns:xs="http://www.w3.org/2001/XMLSchema" xmlns:p="http://schemas.microsoft.com/office/2006/metadata/properties" xmlns:ns2="56814c8e-47d8-417b-81de-6a41a77e178c" xmlns:ns3="eb91cf80-9e13-48e1-ace0-01d117e9b6e0" targetNamespace="http://schemas.microsoft.com/office/2006/metadata/properties" ma:root="true" ma:fieldsID="08ce48c4cbca23f8eaa0452330149722" ns2:_="" ns3:_="">
    <xsd:import namespace="56814c8e-47d8-417b-81de-6a41a77e178c"/>
    <xsd:import namespace="eb91cf80-9e13-48e1-ace0-01d117e9b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14c8e-47d8-417b-81de-6a41a77e1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972f3-4c56-4214-9bc1-3fb193d702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1cf80-9e13-48e1-ace0-01d117e9b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b1469f0-103a-4466-83c2-48848b8fc336}" ma:internalName="TaxCatchAll" ma:showField="CatchAllData" ma:web="eb91cf80-9e13-48e1-ace0-01d117e9b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2308080-0528-4b1d-bd3e-cc5012520018" ContentTypeId="0x0101090097FB9268836FB94A9DE5896F4B092019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7B1EC-D3B1-4547-B189-971F33A16E0F}"/>
</file>

<file path=customXml/itemProps2.xml><?xml version="1.0" encoding="utf-8"?>
<ds:datastoreItem xmlns:ds="http://schemas.openxmlformats.org/officeDocument/2006/customXml" ds:itemID="{52A69039-2653-4EA1-8147-53F19BC9AD32}">
  <ds:schemaRefs>
    <ds:schemaRef ds:uri="2dfbaa1d-a0e2-4947-b86a-c1e6f362ca01"/>
    <ds:schemaRef ds:uri="http://purl.org/dc/elements/1.1/"/>
    <ds:schemaRef ds:uri="e7cece6c-2d7b-4e28-b03e-a44b9d8aa90d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ca6db56e-777d-442a-86c7-cc8bffe2d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ED1E27-FD79-4BB1-8D27-E61A772AD747}"/>
</file>

<file path=customXml/itemProps4.xml><?xml version="1.0" encoding="utf-8"?>
<ds:datastoreItem xmlns:ds="http://schemas.openxmlformats.org/officeDocument/2006/customXml" ds:itemID="{AB9D6C80-2B01-4F49-A15D-3B89AC59902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BFBF3EF-933C-4DF8-93EA-AB47789D8EA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4CF63E-528E-4846-8393-8A8A5B80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Trade Certificate</vt:lpstr>
    </vt:vector>
  </TitlesOfParts>
  <Company>Sierra Nevada Corporation</Company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Trade Certificate</dc:title>
  <dc:creator>SNCUser</dc:creator>
  <cp:lastModifiedBy>Stacy Lawhon</cp:lastModifiedBy>
  <cp:revision>2</cp:revision>
  <cp:lastPrinted>2012-09-19T22:47:00Z</cp:lastPrinted>
  <dcterms:created xsi:type="dcterms:W3CDTF">2022-08-01T19:18:00Z</dcterms:created>
  <dcterms:modified xsi:type="dcterms:W3CDTF">2022-08-01T19:18:00Z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ABAAVOAfoSrQoyxD3IbBjVH6NInvh7Ug5hhi3vmRlUNsMIozEfvDYhKqTxBy8bNSpe4R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4AAAUmLmXdMZevRilMFua2WWszaJ8khXE1AEkYWkEY1ZeoDRKKIQrlFbWA==</vt:lpwstr>
  </property>
  <property fmtid="{D5CDD505-2E9C-101B-9397-08002B2CF9AE}" pid="5" name="TitusGUID">
    <vt:lpwstr>a5bb06a5-279a-4e08-806f-d73e02c8f4bf</vt:lpwstr>
  </property>
  <property fmtid="{D5CDD505-2E9C-101B-9397-08002B2CF9AE}" pid="6" name="NoMarking">
    <vt:lpwstr>Yes</vt:lpwstr>
  </property>
  <property fmtid="{D5CDD505-2E9C-101B-9397-08002B2CF9AE}" pid="7" name="ContentTypeId">
    <vt:lpwstr>0x010100D58821EB9A3C0540A9ED8FCBC432CDCA</vt:lpwstr>
  </property>
  <property fmtid="{D5CDD505-2E9C-101B-9397-08002B2CF9AE}" pid="8" name="_dlc_DocIdItemGuid">
    <vt:lpwstr>5fda62fb-622a-454a-9a65-555a795f2452</vt:lpwstr>
  </property>
  <property fmtid="{D5CDD505-2E9C-101B-9397-08002B2CF9AE}" pid="9" name="level">
    <vt:lpwstr>299;#Corporate|5a97e87b-5724-4947-9392-fd19cb9bf28b</vt:lpwstr>
  </property>
  <property fmtid="{D5CDD505-2E9C-101B-9397-08002B2CF9AE}" pid="10" name="landpage_top_subtop">
    <vt:lpwstr>937;#3. Program Planning|dfa38c18-28cf-4f5b-8c21-0cac4b92daa8;#939;#5. Planning and Procurement|9b90c8bb-7c54-4246-ac27-2cb67ea97172;#947;#5. Supply Management|91705b2f-823c-4e0c-9e81-f46eb71208d5;#945;#3. Requirements Development and Management|8bca78f7-</vt:lpwstr>
  </property>
  <property fmtid="{D5CDD505-2E9C-101B-9397-08002B2CF9AE}" pid="11" name="Systems">
    <vt:lpwstr/>
  </property>
  <property fmtid="{D5CDD505-2E9C-101B-9397-08002B2CF9AE}" pid="12" name="status">
    <vt:lpwstr>287;#Published|b93d505e-3dcc-42c0-acab-d6378c53d510</vt:lpwstr>
  </property>
  <property fmtid="{D5CDD505-2E9C-101B-9397-08002B2CF9AE}" pid="13" name="app_to">
    <vt:lpwstr>1554;#International Trade|573585b6-b602-46c4-8a63-d9363d49e6de;#1538;#Supply Chain|26ed3c45-0306-4500-b0b1-48cec31bf23a</vt:lpwstr>
  </property>
  <property fmtid="{D5CDD505-2E9C-101B-9397-08002B2CF9AE}" pid="14" name="rev_type">
    <vt:lpwstr/>
  </property>
  <property fmtid="{D5CDD505-2E9C-101B-9397-08002B2CF9AE}" pid="15" name="location">
    <vt:lpwstr>243;#All Sites|ae389cff-623b-454e-a445-8ba571e91112</vt:lpwstr>
  </property>
  <property fmtid="{D5CDD505-2E9C-101B-9397-08002B2CF9AE}" pid="16" name="cert_stands">
    <vt:lpwstr/>
  </property>
  <property fmtid="{D5CDD505-2E9C-101B-9397-08002B2CF9AE}" pid="17" name="area_class">
    <vt:lpwstr/>
  </property>
  <property fmtid="{D5CDD505-2E9C-101B-9397-08002B2CF9AE}" pid="18" name="_dept_org_poc_mmd">
    <vt:lpwstr>1467;#Naomi Starosta--Sr Procurement Compliance Auditor|5a4e5e84-5b27-4d50-a178-ba894a2a02bd</vt:lpwstr>
  </property>
  <property fmtid="{D5CDD505-2E9C-101B-9397-08002B2CF9AE}" pid="19" name="dept_org_poc">
    <vt:lpwstr>1467;#Naomi Starosta--Sr Procurement Compliance Auditor|5a4e5e84-5b27-4d50-a178-ba894a2a02bd</vt:lpwstr>
  </property>
  <property fmtid="{D5CDD505-2E9C-101B-9397-08002B2CF9AE}" pid="20" name="regs">
    <vt:lpwstr/>
  </property>
  <property fmtid="{D5CDD505-2E9C-101B-9397-08002B2CF9AE}" pid="21" name="l1248583223f4edbbef1b0953d47fa4b">
    <vt:lpwstr>Naomi Starosta--Sr Procurement Compliance Auditor|5a4e5e84-5b27-4d50-a178-ba894a2a02bd</vt:lpwstr>
  </property>
  <property fmtid="{D5CDD505-2E9C-101B-9397-08002B2CF9AE}" pid="22" name="_status">
    <vt:lpwstr>13;#Published|b93d505e-3dcc-42c0-acab-d6378c53d510</vt:lpwstr>
  </property>
  <property fmtid="{D5CDD505-2E9C-101B-9397-08002B2CF9AE}" pid="23" name="_regs">
    <vt:lpwstr/>
  </property>
  <property fmtid="{D5CDD505-2E9C-101B-9397-08002B2CF9AE}" pid="24" name="_systems">
    <vt:lpwstr/>
  </property>
  <property fmtid="{D5CDD505-2E9C-101B-9397-08002B2CF9AE}" pid="25" name="_area_class">
    <vt:lpwstr/>
  </property>
  <property fmtid="{D5CDD505-2E9C-101B-9397-08002B2CF9AE}" pid="26" name="_cert_stands">
    <vt:lpwstr/>
  </property>
  <property fmtid="{D5CDD505-2E9C-101B-9397-08002B2CF9AE}" pid="27" name="_location">
    <vt:lpwstr>12;#All Sites|ae389cff-623b-454e-a445-8ba571e91112</vt:lpwstr>
  </property>
  <property fmtid="{D5CDD505-2E9C-101B-9397-08002B2CF9AE}" pid="28" name="_level0">
    <vt:lpwstr>11;#Corporate|5a97e87b-5724-4947-9392-fd19cb9bf28b</vt:lpwstr>
  </property>
  <property fmtid="{D5CDD505-2E9C-101B-9397-08002B2CF9AE}" pid="29" name="_dept_org_poc">
    <vt:lpwstr>23;#Supply Chain:Supply Chain:Wayne Olinger--Sr Procurement Compliance Manager|5a4e5e84-5b27-4d50-a178-ba894a2a02bd</vt:lpwstr>
  </property>
  <property fmtid="{D5CDD505-2E9C-101B-9397-08002B2CF9AE}" pid="30" name="_app_to">
    <vt:lpwstr>241;#Legal:International Trade|573585b6-b602-46c4-8a63-d9363d49e6de;#22;#Supply Chain:Supply Chain|26ed3c45-0306-4500-b0b1-48cec31bf23a;#641;#Legal|61c777ef-c84a-4eee-bcd4-04dc6be03579</vt:lpwstr>
  </property>
  <property fmtid="{D5CDD505-2E9C-101B-9397-08002B2CF9AE}" pid="31" name="_landpage_top_subtop">
    <vt:lpwstr>281;#IDD:3. Gates:6. Program Baseline|0b9d0eb2-439a-4f93-ad95-ffccb9eed9ab;#565;#IDD:1. Process Architecture:5. Supply Management|91705b2f-823c-4e0c-9e81-f46eb71208d5;#579;#IDD:4. Reviews:3. Baseline Review|d749b067-0e59-43c8-a980-febb242a4bf9;#580;#IDD:4. Reviews:8. PMR|e28c8db1-be5c-439b-8c23-7c2a9ef55c60</vt:lpwstr>
  </property>
  <property fmtid="{D5CDD505-2E9C-101B-9397-08002B2CF9AE}" pid="32" name="_rev_type">
    <vt:lpwstr>594;#Minor|10909884-d425-441d-a35d-f95bc18cde59</vt:lpwstr>
  </property>
  <property fmtid="{D5CDD505-2E9C-101B-9397-08002B2CF9AE}" pid="33" name="_docreqtype">
    <vt:lpwstr/>
  </property>
  <property fmtid="{D5CDD505-2E9C-101B-9397-08002B2CF9AE}" pid="34" name="Categorization">
    <vt:lpwstr>t_class_3</vt:lpwstr>
  </property>
  <property fmtid="{D5CDD505-2E9C-101B-9397-08002B2CF9AE}" pid="35" name="SubCat">
    <vt:lpwstr>SNCProp</vt:lpwstr>
  </property>
  <property fmtid="{D5CDD505-2E9C-101B-9397-08002B2CF9AE}" pid="36" name="Export">
    <vt:lpwstr/>
  </property>
  <property fmtid="{D5CDD505-2E9C-101B-9397-08002B2CF9AE}" pid="37" name="CUI">
    <vt:lpwstr>None</vt:lpwstr>
  </property>
  <property fmtid="{D5CDD505-2E9C-101B-9397-08002B2CF9AE}" pid="38" name="Marking">
    <vt:lpwstr>No</vt:lpwstr>
  </property>
</Properties>
</file>